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071" w:rsidRPr="00AE46AD" w:rsidRDefault="00F178D0" w:rsidP="00396071">
      <w:pPr>
        <w:jc w:val="center"/>
        <w:rPr>
          <w:b/>
          <w:sz w:val="28"/>
          <w:u w:val="single"/>
        </w:rPr>
      </w:pPr>
      <w:r w:rsidRPr="00F178D0">
        <w:rPr>
          <w:b/>
          <w:noProof/>
          <w:sz w:val="28"/>
          <w:lang w:eastAsia="fr-FR"/>
        </w:rPr>
        <w:drawing>
          <wp:inline distT="0" distB="0" distL="0" distR="0">
            <wp:extent cx="778329" cy="783583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ped-logo_icone-300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78329" cy="78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96071" w:rsidRPr="00F178D0">
        <w:rPr>
          <w:b/>
          <w:sz w:val="28"/>
          <w:u w:val="single"/>
        </w:rPr>
        <w:t>LISTE DE</w:t>
      </w:r>
      <w:r w:rsidR="00396071" w:rsidRPr="00AE46AD">
        <w:rPr>
          <w:b/>
          <w:sz w:val="28"/>
          <w:u w:val="single"/>
        </w:rPr>
        <w:t xml:space="preserve"> QUELQUES ETUDES REALISEES PAR LA MEADEN</w:t>
      </w:r>
    </w:p>
    <w:tbl>
      <w:tblPr>
        <w:tblW w:w="10001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5839"/>
        <w:gridCol w:w="851"/>
        <w:gridCol w:w="1842"/>
        <w:gridCol w:w="993"/>
      </w:tblGrid>
      <w:tr w:rsidR="00FF4C85" w:rsidRPr="0067044C" w:rsidTr="000C4341">
        <w:trPr>
          <w:trHeight w:val="820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>N°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>Titre Etude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 xml:space="preserve">Année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</w:p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>Bureau d’études /</w:t>
            </w:r>
            <w:r w:rsidR="00904144"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 xml:space="preserve"> </w:t>
            </w: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 xml:space="preserve">Consultant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</w:p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>N</w:t>
            </w:r>
            <w:r w:rsidR="0067044C"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>om</w:t>
            </w: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>bre de pages</w:t>
            </w:r>
          </w:p>
        </w:tc>
      </w:tr>
      <w:tr w:rsidR="00FF4C85" w:rsidRPr="0067044C" w:rsidTr="0067044C">
        <w:trPr>
          <w:trHeight w:val="58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Plan Directeur de l’Aménagement de la Vallée supérieure de la Bénoué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ind w:left="-58" w:firstLine="58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Groupement SCETAGRI*SOGREAH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ind w:left="-58" w:firstLine="58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8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Etude de faisabilité technico-économiques d'unités semi-industrielles de transformation du maïs au Nord Cameroun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IRAD Garoua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60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Inventaire/recensement des acquis infrastructurels, des demandes et de potentialités en matière d'hydraulique villageoise dans la province du Nord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AFVP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85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Etude des impacts des activités anthropiques sur la retenue d'eau de </w:t>
            </w:r>
            <w:proofErr w:type="spellStart"/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CEDC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69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Etude sur la délimitation d'un corridor de sécurité le long du lit de la Bénoué en aval du barrage de </w:t>
            </w:r>
            <w:proofErr w:type="spellStart"/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Lagdo</w:t>
            </w:r>
            <w:proofErr w:type="spellEnd"/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 jusqu'à la frontière nigériane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FED INFORMATIQUE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0C4341" w:rsidTr="0067044C">
        <w:trPr>
          <w:trHeight w:val="52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Evaluation de la sédimentation du lac de </w:t>
            </w:r>
            <w:proofErr w:type="spellStart"/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Lagdo</w:t>
            </w:r>
            <w:proofErr w:type="spellEnd"/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 et détermination de la fréquence de son curage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val="en-US" w:eastAsia="fr-FR"/>
              </w:rPr>
              <w:t>RISK CONTROL AND MITIGATION (RCM)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val="en-US"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val="en-US" w:eastAsia="fr-FR"/>
              </w:rPr>
              <w:t>7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Etude diagnostique des aménagements hydro agricoles de </w:t>
            </w:r>
            <w:proofErr w:type="spellStart"/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IRAD Garoua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Etude du projet de réhabilitation, d'extension et d'amélioration des conditions de mise en valeur des aménagements hydro-agricoles de </w:t>
            </w:r>
            <w:proofErr w:type="spellStart"/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Consultant IBRAHIMA SIDIKI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9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Fourniture de l'ensemble des textes commentés régissant la gestion de l'espace, de l'environnement et du foncier au Cameroun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GIC EIJA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10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Projet de relance des activités agricoles dans les périmètres hydro-agricoles de </w:t>
            </w:r>
            <w:proofErr w:type="spellStart"/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MISSION DU MINAGRI: Messieurs TOUSSI &amp; MVONDO N'NA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11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Etude juridique en appui à la MEADEN dans le cadre de la gestion des espaces et des ressources naturelles de la vallée supérieure de la Bénoué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 xml:space="preserve">Consultant </w:t>
            </w:r>
          </w:p>
          <w:p w:rsidR="00FF4C85" w:rsidRPr="0067044C" w:rsidRDefault="00FF4C85" w:rsidP="00F178D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Dr SADJO OUSMANOU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12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Cartographie de la Ville de Garoua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MEADEN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13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Etude de détermination de la capacité de charge de la zone périphérique du lac de </w:t>
            </w:r>
            <w:proofErr w:type="spellStart"/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Bureau d’Etudes FED-INFORMATIQUES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14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Etude sur la détermination des opportunités de développement des zones frontalières de la province du Nord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ERE DEVELOPPEMENT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15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Etude de réalisation de l’ébauche du schéma directeur d’aménagement de la région du Nord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BET GEOCOMPETENCE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16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Synthèse régionale des plans d’aménagements communaux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BET GEOCOMPETENCE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17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Etude socio-économique préalable à l’installation des populations sur le site de recasement à </w:t>
            </w:r>
            <w:proofErr w:type="spellStart"/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BET GEOCOMPETENCE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18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Etat des lieux des aménagements hydro agricoles de </w:t>
            </w:r>
            <w:proofErr w:type="spellStart"/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Cabinet CEAC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FF4C85" w:rsidRPr="0067044C" w:rsidTr="000C4341">
        <w:trPr>
          <w:trHeight w:val="5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19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Elaboration et mise en œuvre d’un plan d’organisation des effectifs (POE)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904144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 </w:t>
            </w:r>
            <w:r w:rsidR="00FF4C85"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FAA/JPA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Etude de faisabilité pour l’extension du centre de pisciculture de </w:t>
            </w:r>
            <w:proofErr w:type="spellStart"/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Gounougou</w:t>
            </w:r>
            <w:proofErr w:type="spellEnd"/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 à </w:t>
            </w:r>
            <w:proofErr w:type="spellStart"/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MANGOTEC SARL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sz w:val="19"/>
                <w:szCs w:val="19"/>
              </w:rPr>
              <w:t xml:space="preserve">Étude de détermination des coûts de dragage du lac de </w:t>
            </w:r>
            <w:proofErr w:type="spellStart"/>
            <w:r w:rsidRPr="0067044C">
              <w:rPr>
                <w:sz w:val="19"/>
                <w:szCs w:val="19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FED-Informatiques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22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l’étude sur l’actualisation de la connaissance des flux migratoires et leurs impacts sur l’économie et le développement de la Région du Nord</w:t>
            </w:r>
            <w:r w:rsidRPr="0067044C">
              <w:rPr>
                <w:rFonts w:ascii="Tahoma" w:hAnsi="Tahoma" w:cs="Tahoma"/>
                <w:b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proofErr w:type="spellStart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>Numérix</w:t>
            </w:r>
            <w:proofErr w:type="spellEnd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 xml:space="preserve"> SARL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23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 xml:space="preserve">Etude de faisabilité pour l’aménagement de 100 ha de bas fond à </w:t>
            </w:r>
            <w:proofErr w:type="spellStart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>Bamé</w:t>
            </w:r>
            <w:proofErr w:type="spellEnd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 xml:space="preserve"> dans l’arrondissement de </w:t>
            </w:r>
            <w:proofErr w:type="spellStart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>Lagdo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Cabinet CEAC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24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Etude de faisabilité de projet de sécurisation des circuits de mouvements pastoraux dans la Région du Nord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Cabinet CEAC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25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 xml:space="preserve">Etude d’identification des zones d’accueil des populations dans le bassin versant de </w:t>
            </w:r>
            <w:proofErr w:type="spellStart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>Lagdo</w:t>
            </w:r>
            <w:proofErr w:type="spellEnd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>- Région du Nord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proofErr w:type="spellStart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>Numérix</w:t>
            </w:r>
            <w:proofErr w:type="spellEnd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 xml:space="preserve"> SARL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23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Etude de mise en place d’un observatoire sur les mutations sociales, la dynamique de l’occupation des espaces et les mécanismes de résolution des conflits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proofErr w:type="spellStart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>Numérix</w:t>
            </w:r>
            <w:proofErr w:type="spellEnd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 xml:space="preserve"> SARL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27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 xml:space="preserve">Etude de faisabilité pour l’aménagement des zones de confluences de la retenue d’eau de </w:t>
            </w:r>
            <w:proofErr w:type="spellStart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>Lagdo</w:t>
            </w:r>
            <w:proofErr w:type="spellEnd"/>
            <w:r w:rsidRPr="0067044C">
              <w:rPr>
                <w:rFonts w:eastAsia="Times New Roman"/>
                <w:sz w:val="19"/>
                <w:szCs w:val="19"/>
                <w:lang w:eastAsia="fr-FR"/>
              </w:rPr>
              <w:t xml:space="preserve"> en vue de réduire l’ensablement du lac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PAT-ENGINEERING AND SERVICES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28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Etude sur l’ensablement et le potentiel de navigabilité du fleuve Bénoué</w:t>
            </w:r>
            <w:r w:rsidRPr="0067044C">
              <w:rPr>
                <w:rFonts w:ascii="Tahoma" w:hAnsi="Tahoma" w:cs="Tahoma"/>
                <w:b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sz w:val="19"/>
                <w:szCs w:val="19"/>
                <w:lang w:eastAsia="fr-FR"/>
              </w:rPr>
              <w:t>BET GEO-COMPETENCE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sz w:val="19"/>
                <w:szCs w:val="19"/>
                <w:lang w:eastAsia="fr-FR"/>
              </w:rPr>
            </w:pPr>
          </w:p>
        </w:tc>
      </w:tr>
      <w:tr w:rsidR="00FF4C85" w:rsidRPr="0067044C" w:rsidTr="0067044C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29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Suivi des études de faisabilité d’actualisation des projets d’aménagement et de mise en valeur des périmètres identifiées dans le Plan Directeur d’aménagement de la vallée supérieure de la Bénoué, </w:t>
            </w:r>
            <w:r w:rsidR="00E62C53"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études</w:t>
            </w: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 conduites par le MINEPAT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85" w:rsidRPr="0067044C" w:rsidRDefault="00FF4C85" w:rsidP="00F178D0">
            <w:pPr>
              <w:spacing w:after="0"/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PRISMA SARL et BET ITIS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67044C" w:rsidRDefault="00FF4C85" w:rsidP="00F178D0">
            <w:pPr>
              <w:spacing w:after="0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</w:tbl>
    <w:p w:rsidR="00F178D0" w:rsidRDefault="00F178D0" w:rsidP="00F178D0">
      <w:pPr>
        <w:spacing w:after="0"/>
      </w:pPr>
    </w:p>
    <w:tbl>
      <w:tblPr>
        <w:tblW w:w="10006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5135"/>
        <w:gridCol w:w="1276"/>
        <w:gridCol w:w="2126"/>
        <w:gridCol w:w="993"/>
      </w:tblGrid>
      <w:tr w:rsidR="00E62C53" w:rsidRPr="00E62C53" w:rsidTr="00E62C53">
        <w:trPr>
          <w:trHeight w:val="525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4C" w:rsidRPr="00AA4A3C" w:rsidRDefault="0067044C" w:rsidP="00E62C53">
            <w:pPr>
              <w:jc w:val="center"/>
              <w:rPr>
                <w:b/>
                <w:sz w:val="4"/>
              </w:rPr>
            </w:pPr>
          </w:p>
          <w:p w:rsidR="00E62C53" w:rsidRPr="00E62C53" w:rsidRDefault="00E62C53" w:rsidP="00E62C53">
            <w:pPr>
              <w:jc w:val="center"/>
              <w:rPr>
                <w:b/>
                <w:sz w:val="18"/>
              </w:rPr>
            </w:pPr>
            <w:r w:rsidRPr="00E62C53">
              <w:rPr>
                <w:b/>
                <w:sz w:val="18"/>
              </w:rPr>
              <w:t>ETUDES REALISEES PAR LA MEADEN DE 2017 A 2020 DANS LE CADRE DE LA PREPARATION DU PROJET VIVA BENOUE AVEC LE CONCOURS TECHNIQUE ET FINANCIER DE LA BANQUE MONDIALE</w:t>
            </w: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423" w:rsidRPr="0067044C" w:rsidRDefault="00141423" w:rsidP="0014142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>N°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423" w:rsidRPr="0067044C" w:rsidRDefault="00141423" w:rsidP="0014142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>Titre Etude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1423" w:rsidRPr="0067044C" w:rsidRDefault="00141423" w:rsidP="0014142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 xml:space="preserve">Année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423" w:rsidRPr="0067044C" w:rsidRDefault="00141423" w:rsidP="0014142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</w:p>
          <w:p w:rsidR="00141423" w:rsidRPr="0067044C" w:rsidRDefault="00141423" w:rsidP="0014142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 xml:space="preserve">Bureau d’études / Consultant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41423" w:rsidRPr="0067044C" w:rsidRDefault="00141423" w:rsidP="0014142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</w:p>
          <w:p w:rsidR="00141423" w:rsidRPr="0067044C" w:rsidRDefault="00141423" w:rsidP="0014142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</w:pPr>
            <w:r w:rsidRPr="0067044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fr-FR"/>
              </w:rPr>
              <w:t>Nombre de pages</w:t>
            </w: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30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b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Etude</w:t>
            </w:r>
            <w:r w:rsidRPr="0067044C">
              <w:rPr>
                <w:rFonts w:eastAsia="Times New Roman"/>
                <w:b/>
                <w:color w:val="000000"/>
                <w:sz w:val="19"/>
                <w:szCs w:val="19"/>
                <w:lang w:eastAsia="fr-FR"/>
              </w:rPr>
              <w:t xml:space="preserve"> </w:t>
            </w:r>
            <w:r w:rsidRPr="0067044C">
              <w:rPr>
                <w:rFonts w:ascii="Calibri" w:hAnsi="Calibri" w:cs="Arial"/>
                <w:sz w:val="19"/>
                <w:szCs w:val="19"/>
              </w:rPr>
              <w:t>l’évaluation sociale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Consultant MOUMIE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31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A763D2" w:rsidP="00141423">
            <w:pPr>
              <w:rPr>
                <w:rFonts w:eastAsia="Times New Roman"/>
                <w:b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Le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cadre de politique de réinstallation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Consultant  MOUMIE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31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A763D2" w:rsidP="00141423">
            <w:pPr>
              <w:rPr>
                <w:rFonts w:eastAsia="Times New Roman"/>
                <w:b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Le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 xml:space="preserve">plan d’action de recasement de 1000 ha à </w:t>
            </w:r>
            <w:r w:rsidRPr="0067044C">
              <w:rPr>
                <w:rFonts w:ascii="Calibri" w:hAnsi="Calibri" w:cs="Arial"/>
                <w:sz w:val="19"/>
                <w:szCs w:val="19"/>
              </w:rPr>
              <w:t>réhabiliter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Consultant MOUMIE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33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A763D2" w:rsidP="00141423">
            <w:pPr>
              <w:rPr>
                <w:rFonts w:cs="Arial"/>
                <w:sz w:val="19"/>
                <w:szCs w:val="19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Le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plan d’action de recasement du nouveau site à aménager (10.000 ha)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Cabinet IDEA </w:t>
            </w:r>
            <w:proofErr w:type="spellStart"/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Consult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34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A763D2" w:rsidP="00141423">
            <w:pPr>
              <w:rPr>
                <w:rFonts w:cs="Arial"/>
                <w:sz w:val="19"/>
                <w:szCs w:val="19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>L’avant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-projet détaillé (APD) pour l’aménagement de 11.000 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Cabinet TRACTEBEL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35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0C4341" w:rsidP="00141423">
            <w:pPr>
              <w:rPr>
                <w:rFonts w:cs="Arial"/>
                <w:sz w:val="19"/>
                <w:szCs w:val="19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La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revue de la sécurité du barrage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Consultant LINO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36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0C4341" w:rsidP="00141423">
            <w:pPr>
              <w:rPr>
                <w:rFonts w:cs="Arial"/>
                <w:sz w:val="19"/>
                <w:szCs w:val="19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Le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cadre de gestion environnementale et sociale (CGES)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Consultant BITONDO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37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0C4341" w:rsidP="00141423">
            <w:pPr>
              <w:rPr>
                <w:rFonts w:cs="Arial"/>
                <w:sz w:val="19"/>
                <w:szCs w:val="19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L’étude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d’impact environnemental et social (EIES)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Cabinet IDEA </w:t>
            </w:r>
            <w:proofErr w:type="spellStart"/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Consult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38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0C4341" w:rsidP="00141423">
            <w:pPr>
              <w:rPr>
                <w:rFonts w:cs="Arial"/>
                <w:sz w:val="19"/>
                <w:szCs w:val="19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Le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plan de gestion des nuisibles (PGN)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Consultant NDZANA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8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39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0C4341" w:rsidP="00141423">
            <w:pPr>
              <w:rPr>
                <w:rFonts w:cs="Arial"/>
                <w:sz w:val="19"/>
                <w:szCs w:val="19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La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faisabilité du CGER (Centre de Gestion de l’</w:t>
            </w:r>
            <w:proofErr w:type="spellStart"/>
            <w:r w:rsidR="00141423" w:rsidRPr="0067044C">
              <w:rPr>
                <w:rFonts w:ascii="Calibri" w:hAnsi="Calibri" w:cs="Arial"/>
                <w:sz w:val="19"/>
                <w:szCs w:val="19"/>
              </w:rPr>
              <w:t>Econonmie</w:t>
            </w:r>
            <w:proofErr w:type="spellEnd"/>
            <w:r w:rsidR="00141423" w:rsidRPr="0067044C">
              <w:rPr>
                <w:rFonts w:ascii="Calibri" w:hAnsi="Calibri" w:cs="Arial"/>
                <w:sz w:val="19"/>
                <w:szCs w:val="19"/>
              </w:rPr>
              <w:t xml:space="preserve"> Rurale)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Equipe de Trois Consultants</w:t>
            </w:r>
            <w:r w:rsidR="000C4341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40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0C4341" w:rsidP="00141423">
            <w:pPr>
              <w:rPr>
                <w:rFonts w:cs="Arial"/>
                <w:sz w:val="19"/>
                <w:szCs w:val="19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Le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manuel d’exécution administratif, comptable, financier,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Consultant BAKARY BIKEKUE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  <w:tr w:rsidR="00141423" w:rsidRPr="0067044C" w:rsidTr="000C4341">
        <w:trPr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141423">
            <w:pPr>
              <w:jc w:val="right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41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0C4341" w:rsidP="00141423">
            <w:pPr>
              <w:rPr>
                <w:rFonts w:cs="Arial"/>
                <w:sz w:val="19"/>
                <w:szCs w:val="19"/>
              </w:rPr>
            </w:pPr>
            <w:r w:rsidRPr="0067044C">
              <w:rPr>
                <w:rFonts w:ascii="Calibri" w:hAnsi="Calibri" w:cs="Arial"/>
                <w:sz w:val="19"/>
                <w:szCs w:val="19"/>
              </w:rPr>
              <w:t xml:space="preserve">La </w:t>
            </w:r>
            <w:r w:rsidR="00141423" w:rsidRPr="0067044C">
              <w:rPr>
                <w:rFonts w:ascii="Calibri" w:hAnsi="Calibri" w:cs="Arial"/>
                <w:sz w:val="19"/>
                <w:szCs w:val="19"/>
              </w:rPr>
              <w:t>stratégie et le plan de passation des marchés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23" w:rsidRPr="0067044C" w:rsidRDefault="00141423" w:rsidP="000C4341">
            <w:pPr>
              <w:jc w:val="center"/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2017-2020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  <w:r w:rsidRPr="0067044C">
              <w:rPr>
                <w:rFonts w:eastAsia="Times New Roman"/>
                <w:color w:val="000000"/>
                <w:sz w:val="19"/>
                <w:szCs w:val="19"/>
                <w:lang w:eastAsia="fr-FR"/>
              </w:rPr>
              <w:t>MEADEN-Equipe d’Experts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23" w:rsidRPr="0067044C" w:rsidRDefault="00141423" w:rsidP="00141423">
            <w:pPr>
              <w:rPr>
                <w:rFonts w:eastAsia="Times New Roman"/>
                <w:color w:val="000000"/>
                <w:sz w:val="19"/>
                <w:szCs w:val="19"/>
                <w:lang w:eastAsia="fr-FR"/>
              </w:rPr>
            </w:pPr>
          </w:p>
        </w:tc>
      </w:tr>
    </w:tbl>
    <w:p w:rsidR="00F178D0" w:rsidRPr="0067044C" w:rsidRDefault="00F178D0" w:rsidP="00F178D0">
      <w:pPr>
        <w:spacing w:after="0"/>
        <w:rPr>
          <w:sz w:val="18"/>
          <w:szCs w:val="18"/>
        </w:rPr>
      </w:pPr>
    </w:p>
    <w:sectPr w:rsidR="00F178D0" w:rsidRPr="0067044C" w:rsidSect="00F178D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1"/>
    <w:rsid w:val="000C4341"/>
    <w:rsid w:val="00141423"/>
    <w:rsid w:val="001A1225"/>
    <w:rsid w:val="00396071"/>
    <w:rsid w:val="0067044C"/>
    <w:rsid w:val="00707E5C"/>
    <w:rsid w:val="00775DC0"/>
    <w:rsid w:val="007E6C96"/>
    <w:rsid w:val="008C5EA7"/>
    <w:rsid w:val="00904144"/>
    <w:rsid w:val="00A763D2"/>
    <w:rsid w:val="00AA4A3C"/>
    <w:rsid w:val="00AE5AE7"/>
    <w:rsid w:val="00BA2ABC"/>
    <w:rsid w:val="00CC55D3"/>
    <w:rsid w:val="00E62C53"/>
    <w:rsid w:val="00F178D0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167B8-4F0E-4491-B671-B26C3B5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7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IBRAHIMA MOUSSA</dc:creator>
  <cp:keywords/>
  <dc:description/>
  <cp:lastModifiedBy>wankam krys</cp:lastModifiedBy>
  <cp:revision>2</cp:revision>
  <dcterms:created xsi:type="dcterms:W3CDTF">2024-07-18T14:43:00Z</dcterms:created>
  <dcterms:modified xsi:type="dcterms:W3CDTF">2024-07-18T14:43:00Z</dcterms:modified>
</cp:coreProperties>
</file>